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36F3D" w14:textId="5D054B46"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762963">
        <w:rPr>
          <w:rFonts w:ascii="Arial" w:eastAsia="宋体" w:hAnsi="Arial"/>
          <w:b/>
          <w:i/>
          <w:noProof/>
          <w:sz w:val="28"/>
        </w:rPr>
        <w:t>0</w:t>
      </w:r>
      <w:r w:rsidR="006D31B4">
        <w:rPr>
          <w:rFonts w:ascii="Arial" w:eastAsia="宋体" w:hAnsi="Arial"/>
          <w:b/>
          <w:i/>
          <w:noProof/>
          <w:sz w:val="28"/>
        </w:rPr>
        <w:t>1365</w:t>
      </w:r>
    </w:p>
    <w:p w14:paraId="7CB45193" w14:textId="3DA1758D" w:rsidR="001E41F3" w:rsidRDefault="00265628" w:rsidP="00265628">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Pr="00762963">
        <w:rPr>
          <w:rFonts w:eastAsia="Arial Unicode MS" w:cs="Arial"/>
          <w:b/>
          <w:bCs/>
          <w:color w:val="000000"/>
          <w:lang w:eastAsia="ja-JP"/>
        </w:rPr>
        <w:tab/>
      </w:r>
      <w:r w:rsidR="006D31B4">
        <w:rPr>
          <w:rFonts w:eastAsia="Arial Unicode MS" w:cs="Arial"/>
          <w:b/>
          <w:bCs/>
          <w:color w:val="000000"/>
          <w:lang w:eastAsia="ja-JP"/>
        </w:rPr>
        <w:tab/>
      </w:r>
      <w:r w:rsidR="006D31B4">
        <w:rPr>
          <w:rFonts w:eastAsia="Arial Unicode MS" w:cs="Arial"/>
          <w:b/>
          <w:bCs/>
          <w:color w:val="000000"/>
          <w:lang w:eastAsia="ja-JP"/>
        </w:rPr>
        <w:tab/>
      </w:r>
      <w:r w:rsidR="006D31B4">
        <w:rPr>
          <w:rFonts w:eastAsia="Arial Unicode MS" w:cs="Arial"/>
          <w:b/>
          <w:bCs/>
          <w:color w:val="000000"/>
          <w:lang w:eastAsia="ja-JP"/>
        </w:rPr>
        <w:tab/>
      </w:r>
      <w:r w:rsidR="006D31B4">
        <w:rPr>
          <w:rFonts w:eastAsia="Arial Unicode MS" w:cs="Arial"/>
          <w:b/>
          <w:bCs/>
          <w:color w:val="000000"/>
          <w:lang w:eastAsia="ja-JP"/>
        </w:rPr>
        <w:tab/>
      </w:r>
      <w:r w:rsidR="006D31B4">
        <w:rPr>
          <w:rFonts w:eastAsia="Arial Unicode MS" w:cs="Arial"/>
          <w:b/>
          <w:bCs/>
          <w:color w:val="000000"/>
          <w:lang w:eastAsia="ja-JP"/>
        </w:rPr>
        <w:tab/>
      </w:r>
      <w:r w:rsidR="006D31B4">
        <w:rPr>
          <w:rFonts w:eastAsia="Arial Unicode MS" w:cs="Arial"/>
          <w:b/>
          <w:bCs/>
          <w:color w:val="000000"/>
          <w:lang w:eastAsia="ja-JP"/>
        </w:rPr>
        <w:tab/>
      </w:r>
      <w:r w:rsidR="006D31B4">
        <w:rPr>
          <w:rFonts w:eastAsia="Arial Unicode MS" w:cs="Arial"/>
          <w:b/>
          <w:bCs/>
          <w:color w:val="000000"/>
          <w:lang w:eastAsia="ja-JP"/>
        </w:rPr>
        <w:tab/>
      </w:r>
      <w:r w:rsidR="006D31B4">
        <w:rPr>
          <w:rFonts w:eastAsia="Arial Unicode MS" w:cs="Arial"/>
          <w:b/>
          <w:bCs/>
          <w:color w:val="000000"/>
          <w:lang w:eastAsia="ja-JP"/>
        </w:rPr>
        <w:tab/>
        <w:t xml:space="preserve">   </w:t>
      </w:r>
      <w:r>
        <w:rPr>
          <w:rFonts w:eastAsia="Arial Unicode MS" w:cs="Arial"/>
          <w:b/>
          <w:bCs/>
          <w:color w:val="000000"/>
          <w:lang w:eastAsia="ja-JP"/>
        </w:rPr>
        <w:t xml:space="preserve"> </w:t>
      </w:r>
      <w:r>
        <w:rPr>
          <w:rFonts w:eastAsia="宋体" w:cs="Arial"/>
          <w:b/>
          <w:bCs/>
          <w:color w:val="0000FF"/>
          <w:lang w:eastAsia="ja-JP"/>
        </w:rPr>
        <w:t>(revision of S2-21</w:t>
      </w:r>
      <w:r w:rsidRPr="00762963">
        <w:rPr>
          <w:rFonts w:eastAsia="宋体" w:cs="Arial"/>
          <w:b/>
          <w:bCs/>
          <w:color w:val="0000FF"/>
          <w:lang w:eastAsia="ja-JP"/>
        </w:rPr>
        <w:t>0</w:t>
      </w:r>
      <w:r w:rsidR="006D31B4">
        <w:rPr>
          <w:rFonts w:eastAsia="宋体" w:cs="Arial"/>
          <w:b/>
          <w:bCs/>
          <w:color w:val="0000FF"/>
          <w:lang w:eastAsia="ja-JP"/>
        </w:rPr>
        <w:t>0475r04</w:t>
      </w:r>
      <w:r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AF0C9" w:rsidR="001E41F3" w:rsidRPr="00410371" w:rsidRDefault="005B7FD5"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ABA62" w:rsidR="001E41F3" w:rsidRPr="00410371" w:rsidRDefault="00A07862" w:rsidP="00547111">
            <w:pPr>
              <w:pStyle w:val="CRCoverPage"/>
              <w:spacing w:after="0"/>
              <w:rPr>
                <w:noProof/>
              </w:rPr>
            </w:pPr>
            <w:r w:rsidRPr="00A07862">
              <w:rPr>
                <w:rFonts w:hint="eastAsia"/>
                <w:b/>
                <w:noProof/>
                <w:sz w:val="28"/>
              </w:rPr>
              <w:t>2511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5A7F4" w:rsidR="001E41F3" w:rsidRPr="00410371" w:rsidRDefault="006D31B4" w:rsidP="00E13F3D">
            <w:pPr>
              <w:pStyle w:val="CRCoverPage"/>
              <w:spacing w:after="0"/>
              <w:jc w:val="center"/>
              <w:rPr>
                <w:b/>
                <w:noProof/>
                <w:lang w:eastAsia="zh-CN"/>
              </w:rPr>
            </w:pPr>
            <w:r w:rsidRPr="006D31B4">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5AB87" w:rsidR="001E41F3" w:rsidRPr="00410371" w:rsidRDefault="005B7FD5" w:rsidP="0033579D">
            <w:pPr>
              <w:pStyle w:val="CRCoverPage"/>
              <w:spacing w:after="0"/>
              <w:jc w:val="center"/>
              <w:rPr>
                <w:noProof/>
                <w:sz w:val="28"/>
              </w:rPr>
            </w:pPr>
            <w:r>
              <w:rPr>
                <w:b/>
                <w:noProof/>
                <w:sz w:val="28"/>
              </w:rPr>
              <w:t>16.7.</w:t>
            </w:r>
            <w:r w:rsidR="0033579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C3375" w:rsidR="001E41F3" w:rsidRDefault="005B7FD5">
            <w:pPr>
              <w:pStyle w:val="CRCoverPage"/>
              <w:spacing w:after="0"/>
              <w:ind w:left="100"/>
              <w:rPr>
                <w:noProof/>
              </w:rPr>
            </w:pPr>
            <w:r w:rsidRPr="00132CEB">
              <w:t>Extensions of Event Reporting Information in TS23.502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9BB554" w:rsidR="001E41F3" w:rsidRDefault="005B7F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92C91" w:rsidR="001E41F3" w:rsidRDefault="00265628" w:rsidP="006D31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D31B4">
              <w:rPr>
                <w:noProof/>
              </w:rPr>
              <w:t>2021-03</w:t>
            </w:r>
            <w:r>
              <w:rPr>
                <w:noProof/>
              </w:rPr>
              <w:t>-</w:t>
            </w:r>
            <w:r w:rsidR="006D31B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ADD70" w:rsidR="001E41F3" w:rsidRDefault="00704F74">
            <w:pPr>
              <w:pStyle w:val="CRCoverPage"/>
              <w:spacing w:after="0"/>
              <w:ind w:left="100"/>
              <w:rPr>
                <w:noProof/>
              </w:rPr>
            </w:pPr>
            <w:r w:rsidRPr="001904D9">
              <w:rPr>
                <w:noProof/>
              </w:rPr>
              <w:t xml:space="preserve">Consolidation of the </w:t>
            </w:r>
            <w:r>
              <w:rPr>
                <w:noProof/>
              </w:rPr>
              <w:t>enhancements of the Event Reporting Information, to include the flags to enabling muting the notification of events as concluded in TR 23.700-91.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65022" w:rsidR="001E41F3" w:rsidRDefault="00704F74" w:rsidP="00FB23C0">
            <w:pPr>
              <w:pStyle w:val="CRCoverPage"/>
              <w:spacing w:after="0"/>
              <w:ind w:left="100"/>
              <w:rPr>
                <w:noProof/>
              </w:rPr>
            </w:pPr>
            <w:r>
              <w:rPr>
                <w:noProof/>
              </w:rPr>
              <w:t xml:space="preserve">The deactivation notification flag and </w:t>
            </w:r>
            <w:r w:rsidR="00FB23C0">
              <w:rPr>
                <w:noProof/>
              </w:rPr>
              <w:t xml:space="preserve">Retrieval </w:t>
            </w:r>
            <w:r>
              <w:rPr>
                <w:noProof/>
              </w:rPr>
              <w:t xml:space="preserve">notification flags are included in the Table </w:t>
            </w:r>
            <w:r w:rsidRPr="00140E21">
              <w:t>4.15.1-1</w:t>
            </w:r>
            <w:r>
              <w:t>, and a short description of the purpose of such new flags as described with further references pointing to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65141" w:rsidR="001E41F3" w:rsidRDefault="00704F74">
            <w:pPr>
              <w:pStyle w:val="CRCoverPage"/>
              <w:spacing w:after="0"/>
              <w:ind w:left="100"/>
              <w:rPr>
                <w:noProof/>
              </w:rPr>
            </w:pPr>
            <w:r w:rsidRPr="001904D9">
              <w:rPr>
                <w:noProof/>
              </w:rPr>
              <w:t xml:space="preserve">Fail to align TS 23.88 and TS 23.502 regarding the extensions of the Event Reporting Information and muting mechanism that can be used by NFs that operate with Event Exposure principles. </w:t>
            </w:r>
            <w:r>
              <w:rPr>
                <w:noProof/>
                <w:highlight w:val="gree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8170A" w:rsidR="001E41F3" w:rsidRDefault="00E2314D">
            <w:pPr>
              <w:pStyle w:val="CRCoverPage"/>
              <w:spacing w:after="0"/>
              <w:ind w:left="100"/>
              <w:rPr>
                <w:noProof/>
              </w:rPr>
            </w:pPr>
            <w:r>
              <w:rPr>
                <w:rFonts w:hint="eastAsia"/>
                <w:noProof/>
              </w:rPr>
              <w:t>4.15.1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67D4C6" w14:textId="77777777" w:rsidR="007D044A" w:rsidRPr="00140E21" w:rsidRDefault="007D044A" w:rsidP="007D044A">
      <w:pPr>
        <w:pStyle w:val="3"/>
        <w:rPr>
          <w:rFonts w:eastAsia="宋体"/>
        </w:rPr>
      </w:pPr>
      <w:bookmarkStart w:id="2" w:name="_Toc20204190"/>
      <w:bookmarkStart w:id="3" w:name="_Toc27894879"/>
      <w:bookmarkStart w:id="4" w:name="_Toc36191957"/>
      <w:bookmarkStart w:id="5" w:name="_Toc45193047"/>
      <w:bookmarkStart w:id="6" w:name="_Toc47592679"/>
      <w:bookmarkStart w:id="7" w:name="_Toc51834766"/>
      <w:bookmarkStart w:id="8" w:name="_Toc59100592"/>
      <w:bookmarkEnd w:id="1"/>
      <w:r w:rsidRPr="00140E21">
        <w:rPr>
          <w:rFonts w:eastAsia="宋体"/>
        </w:rPr>
        <w:t>4.15.1</w:t>
      </w:r>
      <w:r w:rsidRPr="00140E21">
        <w:rPr>
          <w:rFonts w:eastAsia="宋体"/>
        </w:rPr>
        <w:tab/>
        <w:t>General</w:t>
      </w:r>
      <w:bookmarkEnd w:id="2"/>
      <w:bookmarkEnd w:id="3"/>
      <w:bookmarkEnd w:id="4"/>
      <w:bookmarkEnd w:id="5"/>
      <w:bookmarkEnd w:id="6"/>
      <w:bookmarkEnd w:id="7"/>
      <w:bookmarkEnd w:id="8"/>
    </w:p>
    <w:p w14:paraId="0B5A8294" w14:textId="77777777" w:rsidR="007D044A" w:rsidRPr="00140E21" w:rsidRDefault="007D044A" w:rsidP="007D044A">
      <w:r w:rsidRPr="00140E21">
        <w:t>The network capability exposure comprises</w:t>
      </w:r>
    </w:p>
    <w:p w14:paraId="2A5028A8" w14:textId="77777777" w:rsidR="007D044A" w:rsidRPr="00140E21" w:rsidRDefault="007D044A" w:rsidP="007D044A">
      <w:pPr>
        <w:pStyle w:val="B1"/>
      </w:pPr>
      <w:r w:rsidRPr="00140E21">
        <w:t>-</w:t>
      </w:r>
      <w:r w:rsidRPr="00140E21">
        <w:tab/>
        <w:t>Exposure of network events externally as well as internally towards core network NFs;</w:t>
      </w:r>
    </w:p>
    <w:p w14:paraId="6034740B" w14:textId="77777777" w:rsidR="007D044A" w:rsidRPr="00140E21" w:rsidRDefault="007D044A" w:rsidP="007D044A">
      <w:pPr>
        <w:pStyle w:val="B1"/>
      </w:pPr>
      <w:r w:rsidRPr="00140E21">
        <w:t>-</w:t>
      </w:r>
      <w:r w:rsidRPr="00140E21">
        <w:tab/>
        <w:t>Exposure of provisioning capability towards external functions;</w:t>
      </w:r>
    </w:p>
    <w:p w14:paraId="5754C0FB" w14:textId="77777777" w:rsidR="007D044A" w:rsidRPr="00140E21" w:rsidRDefault="007D044A" w:rsidP="007D044A">
      <w:pPr>
        <w:pStyle w:val="B1"/>
      </w:pPr>
      <w:r w:rsidRPr="00140E21">
        <w:t>-</w:t>
      </w:r>
      <w:r w:rsidRPr="00140E21">
        <w:tab/>
        <w:t>Exposure of policy and charging capabilities towards external functions;</w:t>
      </w:r>
    </w:p>
    <w:p w14:paraId="697C481B" w14:textId="77777777" w:rsidR="007D044A" w:rsidRPr="00140E21" w:rsidRDefault="007D044A" w:rsidP="007D044A">
      <w:pPr>
        <w:pStyle w:val="B1"/>
      </w:pPr>
      <w:r w:rsidRPr="00140E21">
        <w:t>-</w:t>
      </w:r>
      <w:r w:rsidRPr="00140E21">
        <w:tab/>
        <w:t>Exposure of core network internal capabilities for analytics.</w:t>
      </w:r>
    </w:p>
    <w:p w14:paraId="5FE7155D" w14:textId="77777777" w:rsidR="007D044A" w:rsidRPr="00140E21" w:rsidRDefault="007D044A" w:rsidP="007D044A">
      <w:pPr>
        <w:pStyle w:val="B1"/>
      </w:pPr>
      <w:r w:rsidRPr="00140E21">
        <w:t>-</w:t>
      </w:r>
      <w:r w:rsidRPr="00140E21">
        <w:tab/>
        <w:t>Exposure of analytics to external party.</w:t>
      </w:r>
    </w:p>
    <w:p w14:paraId="3F2B7DA8" w14:textId="77777777" w:rsidR="007D044A" w:rsidRPr="00140E21" w:rsidRDefault="007D044A" w:rsidP="007D044A">
      <w:pPr>
        <w:pStyle w:val="B1"/>
      </w:pPr>
      <w:r w:rsidRPr="00140E21">
        <w:t>-</w:t>
      </w:r>
      <w:r w:rsidRPr="00140E21">
        <w:tab/>
        <w:t>Retrieval of data from external party by NWDAF.</w:t>
      </w:r>
    </w:p>
    <w:p w14:paraId="02806CF4" w14:textId="77777777" w:rsidR="007D044A" w:rsidRPr="00140E21" w:rsidRDefault="007D044A" w:rsidP="007D044A">
      <w:r w:rsidRPr="00140E21">
        <w:t>When subscribing to event reporting the NF consumer(s) provide:</w:t>
      </w:r>
    </w:p>
    <w:p w14:paraId="13E074BB" w14:textId="77777777" w:rsidR="007D044A" w:rsidRPr="00140E21" w:rsidRDefault="007D044A" w:rsidP="007D044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24EAE43B" w14:textId="77777777" w:rsidR="007D044A" w:rsidRPr="00140E21" w:rsidRDefault="007D044A" w:rsidP="007D044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6242820D" w14:textId="77777777" w:rsidR="007D044A" w:rsidRPr="00140E21" w:rsidRDefault="007D044A" w:rsidP="007D044A">
      <w:pPr>
        <w:pStyle w:val="B1"/>
      </w:pPr>
      <w:r w:rsidRPr="00140E21">
        <w:t>-</w:t>
      </w:r>
      <w:r w:rsidRPr="00140E21">
        <w:tab/>
        <w:t>Event Reporting Information described in the Table 4.15.1-1 below. Within a subscription all Event ID(s) are associated with a unique Event Reporting Information.</w:t>
      </w:r>
    </w:p>
    <w:p w14:paraId="2C8405AA" w14:textId="77777777" w:rsidR="007D044A" w:rsidRPr="00140E21" w:rsidRDefault="007D044A" w:rsidP="007D044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5FDA1589" w14:textId="77777777" w:rsidR="007D044A" w:rsidRPr="00140E21" w:rsidRDefault="007D044A" w:rsidP="007D044A">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4C790D3F" w14:textId="77777777" w:rsidR="007D044A" w:rsidRPr="00140E21" w:rsidRDefault="007D044A" w:rsidP="007D044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AFE19FA" w14:textId="77777777" w:rsidR="007D044A" w:rsidRPr="00140E21" w:rsidRDefault="007D044A" w:rsidP="007D044A">
      <w:r w:rsidRPr="00140E21">
        <w:t>When the subscription is accepted by the Event provider NF, the consumer NF receives from the event provider NF an identifier (Subscription Correlation ID) allowing to further manage (modify, delete) this subscription.</w:t>
      </w:r>
    </w:p>
    <w:p w14:paraId="613781D5" w14:textId="77777777" w:rsidR="007D044A" w:rsidRPr="00140E21" w:rsidRDefault="007D044A" w:rsidP="007D044A">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97CA571" w14:textId="77777777" w:rsidR="007D044A" w:rsidRPr="00140E21" w:rsidRDefault="007D044A" w:rsidP="007D044A">
      <w:r w:rsidRPr="00140E21">
        <w:t>The consumer NF may use an operation dedicated to subscription modification to add or remove Event ID(s) to this subscription or to modify Event Filter Information.</w:t>
      </w:r>
    </w:p>
    <w:p w14:paraId="57EBA9FE" w14:textId="120F0C25" w:rsidR="00704F74" w:rsidRPr="00140E21" w:rsidRDefault="007D044A" w:rsidP="00704F74">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06E54A52" w14:textId="77777777" w:rsidR="00704F74" w:rsidRPr="00140E21" w:rsidRDefault="00704F74" w:rsidP="00704F7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04F74" w:rsidRPr="00140E21" w14:paraId="0648B8C3" w14:textId="77777777" w:rsidTr="00B47873">
        <w:tc>
          <w:tcPr>
            <w:tcW w:w="3425" w:type="dxa"/>
          </w:tcPr>
          <w:p w14:paraId="2560E57C" w14:textId="77777777" w:rsidR="00704F74" w:rsidRPr="00140E21" w:rsidRDefault="00704F74" w:rsidP="009610B2">
            <w:pPr>
              <w:pStyle w:val="TAH"/>
            </w:pPr>
            <w:r w:rsidRPr="00140E21">
              <w:t>Event Reporting Information Parameter</w:t>
            </w:r>
          </w:p>
        </w:tc>
        <w:tc>
          <w:tcPr>
            <w:tcW w:w="4824" w:type="dxa"/>
          </w:tcPr>
          <w:p w14:paraId="11509AA5" w14:textId="77777777" w:rsidR="00704F74" w:rsidRPr="00140E21" w:rsidRDefault="00704F74" w:rsidP="009610B2">
            <w:pPr>
              <w:pStyle w:val="TAH"/>
            </w:pPr>
            <w:r w:rsidRPr="00140E21">
              <w:t>Description</w:t>
            </w:r>
          </w:p>
        </w:tc>
        <w:tc>
          <w:tcPr>
            <w:tcW w:w="1380" w:type="dxa"/>
          </w:tcPr>
          <w:p w14:paraId="5C496230" w14:textId="77777777" w:rsidR="00704F74" w:rsidRPr="00140E21" w:rsidRDefault="00704F74" w:rsidP="009610B2">
            <w:pPr>
              <w:pStyle w:val="TAH"/>
            </w:pPr>
            <w:r w:rsidRPr="00140E21">
              <w:t>Presence requirement</w:t>
            </w:r>
          </w:p>
        </w:tc>
      </w:tr>
      <w:tr w:rsidR="00B47873" w:rsidRPr="00140E21" w14:paraId="2BDD8A9A" w14:textId="77777777" w:rsidTr="00B47873">
        <w:tc>
          <w:tcPr>
            <w:tcW w:w="3425" w:type="dxa"/>
          </w:tcPr>
          <w:p w14:paraId="2EE4C4D7" w14:textId="646652FC" w:rsidR="00B47873" w:rsidRPr="00140E21" w:rsidRDefault="00B47873" w:rsidP="00B47873">
            <w:pPr>
              <w:pStyle w:val="TAL"/>
            </w:pPr>
            <w:r w:rsidRPr="00140E21">
              <w:t>Event reporting mode</w:t>
            </w:r>
          </w:p>
        </w:tc>
        <w:tc>
          <w:tcPr>
            <w:tcW w:w="4824" w:type="dxa"/>
          </w:tcPr>
          <w:p w14:paraId="19604832" w14:textId="0D7C0954" w:rsidR="00B47873" w:rsidRPr="00140E21" w:rsidRDefault="00B47873" w:rsidP="00B47873">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0" w:type="dxa"/>
          </w:tcPr>
          <w:p w14:paraId="1DBE62B5" w14:textId="15B62723" w:rsidR="00B47873" w:rsidRPr="00140E21" w:rsidRDefault="00B47873" w:rsidP="00B47873">
            <w:pPr>
              <w:pStyle w:val="TAL"/>
            </w:pPr>
            <w:r w:rsidRPr="00140E21">
              <w:t>mandatory</w:t>
            </w:r>
          </w:p>
        </w:tc>
      </w:tr>
      <w:tr w:rsidR="00B47873" w:rsidRPr="00140E21" w14:paraId="7A39E161" w14:textId="77777777" w:rsidTr="00B47873">
        <w:tc>
          <w:tcPr>
            <w:tcW w:w="3425" w:type="dxa"/>
          </w:tcPr>
          <w:p w14:paraId="6D1B0F68" w14:textId="3A7730EC" w:rsidR="00B47873" w:rsidRPr="00140E21" w:rsidRDefault="00B47873" w:rsidP="00B47873">
            <w:pPr>
              <w:pStyle w:val="TAL"/>
            </w:pPr>
            <w:r w:rsidRPr="00140E21">
              <w:t>Maximum number of reports</w:t>
            </w:r>
          </w:p>
        </w:tc>
        <w:tc>
          <w:tcPr>
            <w:tcW w:w="4824" w:type="dxa"/>
          </w:tcPr>
          <w:p w14:paraId="422B0457" w14:textId="581AD7FD" w:rsidR="00B47873" w:rsidRPr="00140E21" w:rsidRDefault="00B47873" w:rsidP="00B47873">
            <w:pPr>
              <w:pStyle w:val="TAL"/>
            </w:pPr>
            <w:r w:rsidRPr="00140E21">
              <w:t>Maximum number of reports after which the event subscription ceases to exist</w:t>
            </w:r>
          </w:p>
        </w:tc>
        <w:tc>
          <w:tcPr>
            <w:tcW w:w="1380" w:type="dxa"/>
          </w:tcPr>
          <w:p w14:paraId="07524551" w14:textId="6F681A3E" w:rsidR="00B47873" w:rsidRPr="00140E21" w:rsidRDefault="00B47873" w:rsidP="00B47873">
            <w:pPr>
              <w:pStyle w:val="TAL"/>
            </w:pPr>
            <w:r w:rsidRPr="00140E21">
              <w:t>(see NOTE</w:t>
            </w:r>
            <w:r w:rsidRPr="00140E21">
              <w:rPr>
                <w:lang w:eastAsia="zh-CN"/>
              </w:rPr>
              <w:t> 2</w:t>
            </w:r>
            <w:r w:rsidRPr="00140E21">
              <w:t>)</w:t>
            </w:r>
          </w:p>
        </w:tc>
      </w:tr>
      <w:tr w:rsidR="00B47873" w:rsidRPr="00140E21" w14:paraId="7BE5CC13" w14:textId="77777777" w:rsidTr="00B47873">
        <w:tc>
          <w:tcPr>
            <w:tcW w:w="3425" w:type="dxa"/>
          </w:tcPr>
          <w:p w14:paraId="198845D8" w14:textId="79D8CC93" w:rsidR="00B47873" w:rsidRPr="00140E21" w:rsidRDefault="00B47873" w:rsidP="00B47873">
            <w:pPr>
              <w:pStyle w:val="TAL"/>
            </w:pPr>
            <w:r w:rsidRPr="00140E21">
              <w:t>Maximum duration of reporting</w:t>
            </w:r>
          </w:p>
        </w:tc>
        <w:tc>
          <w:tcPr>
            <w:tcW w:w="4824" w:type="dxa"/>
          </w:tcPr>
          <w:p w14:paraId="1BEC2FD6" w14:textId="16D8AD33" w:rsidR="00B47873" w:rsidRPr="00140E21" w:rsidRDefault="00B47873" w:rsidP="00B47873">
            <w:pPr>
              <w:pStyle w:val="TAL"/>
            </w:pPr>
            <w:r w:rsidRPr="00140E21">
              <w:t>Maximum duration after which the event subscription ceases to exist</w:t>
            </w:r>
          </w:p>
        </w:tc>
        <w:tc>
          <w:tcPr>
            <w:tcW w:w="1380" w:type="dxa"/>
          </w:tcPr>
          <w:p w14:paraId="4EF3D957" w14:textId="7414459B" w:rsidR="00B47873" w:rsidRPr="00140E21" w:rsidRDefault="00B47873" w:rsidP="00B47873">
            <w:pPr>
              <w:pStyle w:val="TAL"/>
            </w:pPr>
            <w:r w:rsidRPr="00140E21">
              <w:t>(see NOTE</w:t>
            </w:r>
            <w:r w:rsidRPr="00140E21">
              <w:rPr>
                <w:lang w:eastAsia="zh-CN"/>
              </w:rPr>
              <w:t> 2</w:t>
            </w:r>
            <w:r w:rsidRPr="00140E21">
              <w:t>)</w:t>
            </w:r>
          </w:p>
        </w:tc>
      </w:tr>
      <w:tr w:rsidR="00B47873" w:rsidRPr="00140E21" w14:paraId="73F22C71" w14:textId="77777777" w:rsidTr="00B47873">
        <w:tc>
          <w:tcPr>
            <w:tcW w:w="3425" w:type="dxa"/>
          </w:tcPr>
          <w:p w14:paraId="39D2DD34" w14:textId="6D1719E4" w:rsidR="00B47873" w:rsidRPr="00140E21" w:rsidRDefault="00B47873" w:rsidP="00B47873">
            <w:pPr>
              <w:pStyle w:val="TAL"/>
            </w:pPr>
            <w:r w:rsidRPr="00140E21">
              <w:t>Immediate reporting flag</w:t>
            </w:r>
          </w:p>
        </w:tc>
        <w:tc>
          <w:tcPr>
            <w:tcW w:w="4824" w:type="dxa"/>
          </w:tcPr>
          <w:p w14:paraId="697CE7BC" w14:textId="534A9158" w:rsidR="00B47873" w:rsidRPr="00140E21" w:rsidRDefault="00B47873" w:rsidP="00B47873">
            <w:pPr>
              <w:pStyle w:val="TAL"/>
            </w:pPr>
            <w:r w:rsidRPr="00140E21">
              <w:t>The Event provider NF notifies the current status of the subscribed event, if available, immediately to the consumer NF.</w:t>
            </w:r>
          </w:p>
        </w:tc>
        <w:tc>
          <w:tcPr>
            <w:tcW w:w="1380" w:type="dxa"/>
          </w:tcPr>
          <w:p w14:paraId="77D2FAF3" w14:textId="77777777" w:rsidR="00B47873" w:rsidRPr="00140E21" w:rsidRDefault="00B47873" w:rsidP="00B47873">
            <w:pPr>
              <w:pStyle w:val="TAL"/>
            </w:pPr>
          </w:p>
        </w:tc>
      </w:tr>
      <w:tr w:rsidR="00B47873" w:rsidRPr="00140E21" w14:paraId="74138077" w14:textId="77777777" w:rsidTr="00B47873">
        <w:tc>
          <w:tcPr>
            <w:tcW w:w="3425" w:type="dxa"/>
          </w:tcPr>
          <w:p w14:paraId="2C9FE81C" w14:textId="74EE7995" w:rsidR="00B47873" w:rsidRPr="00140E21" w:rsidRDefault="00B47873" w:rsidP="00B47873">
            <w:pPr>
              <w:pStyle w:val="TAL"/>
            </w:pPr>
            <w:r w:rsidRPr="00140E21">
              <w:t>Sampling ratio</w:t>
            </w:r>
          </w:p>
        </w:tc>
        <w:tc>
          <w:tcPr>
            <w:tcW w:w="4824" w:type="dxa"/>
          </w:tcPr>
          <w:p w14:paraId="0D9833CC" w14:textId="5716805F" w:rsidR="00B47873" w:rsidRPr="00140E21" w:rsidRDefault="00B47873" w:rsidP="00B47873">
            <w:pPr>
              <w:pStyle w:val="TAL"/>
            </w:pPr>
            <w:r w:rsidRPr="00140E21">
              <w:t>Percentage of sampling (1%</w:t>
            </w:r>
            <w:proofErr w:type="gramStart"/>
            <w:r w:rsidRPr="00140E21">
              <w:t>..</w:t>
            </w:r>
            <w:proofErr w:type="gramEnd"/>
            <w:r w:rsidRPr="00140E21">
              <w:t>100%) among impacted UEs.</w:t>
            </w:r>
          </w:p>
        </w:tc>
        <w:tc>
          <w:tcPr>
            <w:tcW w:w="1380" w:type="dxa"/>
          </w:tcPr>
          <w:p w14:paraId="7853F5DD" w14:textId="77777777" w:rsidR="00B47873" w:rsidRPr="00140E21" w:rsidRDefault="00B47873" w:rsidP="00B47873">
            <w:pPr>
              <w:pStyle w:val="TAL"/>
            </w:pPr>
            <w:r w:rsidRPr="00140E21">
              <w:t>optional</w:t>
            </w:r>
          </w:p>
          <w:p w14:paraId="7B6BDD3E" w14:textId="480C0483" w:rsidR="00B47873" w:rsidRPr="00140E21" w:rsidRDefault="00B47873" w:rsidP="00B47873">
            <w:pPr>
              <w:pStyle w:val="TAL"/>
            </w:pPr>
            <w:r w:rsidRPr="00140E21">
              <w:t>(see NOTE 3)</w:t>
            </w:r>
          </w:p>
        </w:tc>
      </w:tr>
      <w:tr w:rsidR="00B47873" w:rsidRPr="00140E21" w14:paraId="56669403" w14:textId="77777777" w:rsidTr="00B47873">
        <w:tc>
          <w:tcPr>
            <w:tcW w:w="3425" w:type="dxa"/>
          </w:tcPr>
          <w:p w14:paraId="2B3459A1" w14:textId="36D98640" w:rsidR="00B47873" w:rsidRPr="00140E21" w:rsidRDefault="00B47873" w:rsidP="00B47873">
            <w:pPr>
              <w:pStyle w:val="TAL"/>
            </w:pPr>
            <w:r w:rsidRPr="00140E21">
              <w:t>Group Reporting Guard Time</w:t>
            </w:r>
          </w:p>
        </w:tc>
        <w:tc>
          <w:tcPr>
            <w:tcW w:w="4824" w:type="dxa"/>
          </w:tcPr>
          <w:p w14:paraId="125F4DD5" w14:textId="6A22C21C" w:rsidR="00B47873" w:rsidRPr="00140E21" w:rsidRDefault="00B47873" w:rsidP="00B47873">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6D399DC6" w14:textId="39C0B6C1" w:rsidR="00B47873" w:rsidRPr="00140E21" w:rsidRDefault="00B47873" w:rsidP="00B47873">
            <w:pPr>
              <w:pStyle w:val="TAL"/>
            </w:pPr>
            <w:r w:rsidRPr="00140E21">
              <w:t>optional</w:t>
            </w:r>
          </w:p>
        </w:tc>
      </w:tr>
      <w:tr w:rsidR="00C43FFE" w:rsidRPr="00140E21" w14:paraId="73E7548F" w14:textId="77777777" w:rsidTr="00B47873">
        <w:tc>
          <w:tcPr>
            <w:tcW w:w="3425" w:type="dxa"/>
          </w:tcPr>
          <w:p w14:paraId="38492443" w14:textId="7A8C955A" w:rsidR="00C43FFE" w:rsidRPr="006D31B4" w:rsidRDefault="00C43FFE" w:rsidP="00C43FFE">
            <w:pPr>
              <w:pStyle w:val="TAL"/>
            </w:pPr>
            <w:ins w:id="9" w:author="Huawei" w:date="2021-03-09T15:10:00Z">
              <w:r w:rsidRPr="006D31B4">
                <w:rPr>
                  <w:lang w:eastAsia="ko-KR"/>
                </w:rPr>
                <w:t>Deactivate notification flag</w:t>
              </w:r>
            </w:ins>
          </w:p>
        </w:tc>
        <w:tc>
          <w:tcPr>
            <w:tcW w:w="4824" w:type="dxa"/>
          </w:tcPr>
          <w:p w14:paraId="6900EAC4" w14:textId="7E4A9F8B" w:rsidR="00C43FFE" w:rsidRPr="006D31B4" w:rsidRDefault="00C43FFE" w:rsidP="00C43FFE">
            <w:pPr>
              <w:pStyle w:val="TAL"/>
            </w:pPr>
            <w:ins w:id="10" w:author="Huawei" w:date="2021-03-09T15:10:00Z">
              <w:r w:rsidRPr="006D31B4">
                <w:rPr>
                  <w:lang w:eastAsia="ko-KR"/>
                </w:rPr>
                <w:t xml:space="preserve">Indicates to the Event provider NF that the notification of the available events shall be muted until the Event consumer NF provides the retrieval notification flag to retrieve the events stored. </w:t>
              </w:r>
            </w:ins>
          </w:p>
        </w:tc>
        <w:tc>
          <w:tcPr>
            <w:tcW w:w="1380" w:type="dxa"/>
          </w:tcPr>
          <w:p w14:paraId="633B4588" w14:textId="0FD78F76" w:rsidR="00C43FFE" w:rsidRPr="006D31B4" w:rsidRDefault="00C43FFE" w:rsidP="00C43FFE">
            <w:pPr>
              <w:pStyle w:val="TAL"/>
            </w:pPr>
            <w:ins w:id="11" w:author="Huawei" w:date="2021-03-09T15:10:00Z">
              <w:r w:rsidRPr="006D31B4">
                <w:t>optional</w:t>
              </w:r>
            </w:ins>
          </w:p>
        </w:tc>
      </w:tr>
      <w:tr w:rsidR="00C43FFE" w:rsidRPr="00140E21" w14:paraId="2D3AB2FB" w14:textId="77777777" w:rsidTr="00B47873">
        <w:trPr>
          <w:ins w:id="12" w:author="Huawei" w:date="2021-01-08T17:47:00Z"/>
        </w:trPr>
        <w:tc>
          <w:tcPr>
            <w:tcW w:w="3425" w:type="dxa"/>
          </w:tcPr>
          <w:p w14:paraId="0CA3F035" w14:textId="5BA74E00" w:rsidR="00C43FFE" w:rsidRPr="006D31B4" w:rsidRDefault="00C43FFE" w:rsidP="00C43FFE">
            <w:pPr>
              <w:pStyle w:val="TAL"/>
              <w:rPr>
                <w:ins w:id="13" w:author="Huawei" w:date="2021-01-08T17:47:00Z"/>
                <w:lang w:eastAsia="ko-KR"/>
              </w:rPr>
            </w:pPr>
            <w:ins w:id="14" w:author="Huawei" w:date="2021-03-09T15:10:00Z">
              <w:r w:rsidRPr="006D31B4">
                <w:rPr>
                  <w:lang w:eastAsia="ko-KR"/>
                </w:rPr>
                <w:t>Retrieval notification flag</w:t>
              </w:r>
            </w:ins>
          </w:p>
        </w:tc>
        <w:tc>
          <w:tcPr>
            <w:tcW w:w="4824" w:type="dxa"/>
          </w:tcPr>
          <w:p w14:paraId="0842D748" w14:textId="3C682F51" w:rsidR="00C43FFE" w:rsidRPr="006D31B4" w:rsidRDefault="00C43FFE" w:rsidP="00C43FFE">
            <w:pPr>
              <w:pStyle w:val="TAL"/>
              <w:rPr>
                <w:ins w:id="15" w:author="Huawei" w:date="2021-01-08T17:47:00Z"/>
              </w:rPr>
            </w:pPr>
            <w:ins w:id="16" w:author="Huawei" w:date="2021-03-09T15:10:00Z">
              <w:r w:rsidRPr="008C6CFB">
                <w:rPr>
                  <w:lang w:eastAsia="ko-KR"/>
                </w:rPr>
                <w:t xml:space="preserve">Indicates to </w:t>
              </w:r>
              <w:r w:rsidRPr="006D31B4">
                <w:rPr>
                  <w:lang w:eastAsia="ko-KR"/>
                </w:rPr>
                <w:t xml:space="preserve">the Event provider NF to send the notification to the Event consumer NF with the stored events and mutes again the notification of future events. </w:t>
              </w:r>
            </w:ins>
          </w:p>
        </w:tc>
        <w:tc>
          <w:tcPr>
            <w:tcW w:w="1380" w:type="dxa"/>
          </w:tcPr>
          <w:p w14:paraId="07499736" w14:textId="03EBFDB0" w:rsidR="00C43FFE" w:rsidRPr="006D31B4" w:rsidRDefault="00C43FFE" w:rsidP="00C43FFE">
            <w:pPr>
              <w:pStyle w:val="TAL"/>
              <w:rPr>
                <w:ins w:id="17" w:author="Huawei" w:date="2021-01-08T17:47:00Z"/>
              </w:rPr>
            </w:pPr>
            <w:ins w:id="18" w:author="Huawei" w:date="2021-03-09T15:10:00Z">
              <w:r w:rsidRPr="006D31B4">
                <w:t>optional</w:t>
              </w:r>
            </w:ins>
          </w:p>
        </w:tc>
      </w:tr>
      <w:tr w:rsidR="00C43FFE" w:rsidRPr="00140E21" w14:paraId="47231CF2" w14:textId="77777777" w:rsidTr="00B47873">
        <w:tc>
          <w:tcPr>
            <w:tcW w:w="9629" w:type="dxa"/>
            <w:gridSpan w:val="3"/>
          </w:tcPr>
          <w:p w14:paraId="3FF12226" w14:textId="77777777" w:rsidR="00C43FFE" w:rsidRPr="00140E21" w:rsidRDefault="00C43FFE" w:rsidP="00C43FFE">
            <w:pPr>
              <w:pStyle w:val="TAN"/>
            </w:pPr>
            <w:r w:rsidRPr="00140E21">
              <w:t>NOTE 2:</w:t>
            </w:r>
            <w:r w:rsidRPr="00140E21">
              <w:tab/>
              <w:t>The requester shall include 2) Maximum number of reports or 3) Maximum duration of reporting, or both, depending on 1) Event reporting mode.</w:t>
            </w:r>
          </w:p>
          <w:p w14:paraId="20B7D2EA" w14:textId="77777777" w:rsidR="00C43FFE" w:rsidRPr="00140E21" w:rsidRDefault="00C43FFE" w:rsidP="00C43FFE">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291A43C3" w14:textId="77777777" w:rsidR="00704F74" w:rsidRPr="00140E21" w:rsidRDefault="00704F74" w:rsidP="00704F74">
      <w:pPr>
        <w:pStyle w:val="FP"/>
      </w:pPr>
    </w:p>
    <w:p w14:paraId="6FA64D21" w14:textId="77777777" w:rsidR="00704F74" w:rsidRPr="00140E21" w:rsidRDefault="00704F74" w:rsidP="00704F74">
      <w:pPr>
        <w:pStyle w:val="NO"/>
      </w:pPr>
      <w:r w:rsidRPr="00140E21">
        <w:t>NOTE 4:</w:t>
      </w:r>
      <w:r w:rsidRPr="00140E21">
        <w:tab/>
        <w:t>Explicit unsubscribe by the NF consumer is still possible.</w:t>
      </w:r>
    </w:p>
    <w:p w14:paraId="673568F8" w14:textId="77777777" w:rsidR="00255D63" w:rsidRPr="00140E21" w:rsidRDefault="00255D63" w:rsidP="00255D63">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0708E590" w14:textId="77777777" w:rsidR="00255D63" w:rsidRPr="00140E21" w:rsidRDefault="00255D63" w:rsidP="00255D63">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7B5B7543" w14:textId="77777777" w:rsidR="00255D63" w:rsidRPr="00140E21" w:rsidRDefault="00255D63" w:rsidP="00255D63">
      <w:r w:rsidRPr="00140E21">
        <w:t>If for a given subscription both Maximum Number of reports and Maximum duration of reporting are included then the subscription is considered to expire as soon as one of the conditions is met.</w:t>
      </w:r>
    </w:p>
    <w:p w14:paraId="7EAE9521" w14:textId="77777777" w:rsidR="00255D63" w:rsidRPr="00140E21" w:rsidRDefault="00255D63" w:rsidP="00255D63">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35664FF1" w14:textId="0A9C14B1" w:rsidR="00704F74" w:rsidRDefault="00255D63" w:rsidP="00255D63">
      <w:pPr>
        <w:rPr>
          <w:ins w:id="19" w:author="Huawei" w:date="2021-01-13T09:34:00Z"/>
        </w:rPr>
      </w:pPr>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51C20036" w14:textId="77777777" w:rsidR="00A32657" w:rsidRPr="00140E21" w:rsidRDefault="00A32657" w:rsidP="00A32657">
      <w:pPr>
        <w:rPr>
          <w:ins w:id="20" w:author="Huawei" w:date="2021-03-09T15:11:00Z"/>
        </w:rPr>
      </w:pPr>
      <w:ins w:id="21" w:author="Huawei" w:date="2021-03-09T15:11:00Z">
        <w:r w:rsidRPr="006D31B4">
          <w:t xml:space="preserve">Deactivation notification flag and retrieval notification flag enable the </w:t>
        </w:r>
        <w:r w:rsidRPr="006D31B4">
          <w:rPr>
            <w:rFonts w:eastAsia="MS Mincho"/>
          </w:rPr>
          <w:t>mute storage of events for a limited size of events at the Event producer NF, thus reducing the number of notifications and the overall signalling between the Event producer NF and the Event consumer NF. Usage of these parameters is further specified in TS 23.288 Clause 6.2.Z.</w:t>
        </w:r>
        <w:r>
          <w:rPr>
            <w:rFonts w:eastAsia="MS Mincho"/>
          </w:rPr>
          <w:t xml:space="preserve"> </w:t>
        </w:r>
      </w:ins>
    </w:p>
    <w:p w14:paraId="23472F8B" w14:textId="77777777" w:rsidR="00D84E73" w:rsidRPr="00140E21" w:rsidRDefault="00D84E73" w:rsidP="00D84E73">
      <w:r w:rsidRPr="00140E21">
        <w:lastRenderedPageBreak/>
        <w:t>Table 4.15.1-1 indicates the presence requirements for the Event Reporting Information.</w:t>
      </w:r>
    </w:p>
    <w:p w14:paraId="7CF7A3E3" w14:textId="77777777" w:rsidR="00D84E73" w:rsidRPr="00140E21" w:rsidRDefault="00D84E73" w:rsidP="00D84E73">
      <w:r w:rsidRPr="00140E21">
        <w:t>Corresponding notifications contain at least the Notification Correlation ID together with the Event ID and the individual target (e.g. UE or PDU Session ID) associated with the notification.</w:t>
      </w:r>
    </w:p>
    <w:p w14:paraId="435724BD" w14:textId="77777777" w:rsidR="00D84E73" w:rsidRPr="00140E21" w:rsidRDefault="00D84E73" w:rsidP="00D84E73">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01294872" w14:textId="77777777" w:rsidR="00D84E73" w:rsidRPr="00140E21" w:rsidRDefault="00D84E73" w:rsidP="00D84E73">
      <w:pPr>
        <w:rPr>
          <w:rFonts w:eastAsia="宋体"/>
        </w:rPr>
      </w:pPr>
      <w:r w:rsidRPr="00140E21">
        <w:t>The following clauses describe the external exposure of network capabilities and core network internal event and capability exposure.</w:t>
      </w:r>
    </w:p>
    <w:p w14:paraId="27CCF277" w14:textId="77777777" w:rsidR="00D84E73" w:rsidRPr="00140E21" w:rsidRDefault="00D84E73" w:rsidP="00D84E73">
      <w:pPr>
        <w:rPr>
          <w:rFonts w:eastAsia="宋体"/>
        </w:rPr>
      </w:pPr>
      <w:r w:rsidRPr="00140E21">
        <w:rPr>
          <w:rFonts w:eastAsia="宋体"/>
        </w:rPr>
        <w:t>When the immediate reporting flag is set, the first corresponding event report is included in the output message, if corresponding information is available at the reception of the subscription request of the event.</w:t>
      </w:r>
    </w:p>
    <w:p w14:paraId="7C7E89C8" w14:textId="77777777" w:rsidR="00D84E73" w:rsidRPr="00140E21" w:rsidRDefault="00D84E73" w:rsidP="00D84E73">
      <w:pPr>
        <w:rPr>
          <w:rFonts w:eastAsia="宋体"/>
        </w:rPr>
      </w:pPr>
      <w:r w:rsidRPr="00140E21">
        <w:rPr>
          <w:rFonts w:eastAsia="宋体"/>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FECC397" w14:textId="5913F51C" w:rsidR="00704F74" w:rsidRPr="00EA4B9E" w:rsidRDefault="00D84E73" w:rsidP="00672E09">
      <w:pPr>
        <w:pStyle w:val="NO"/>
      </w:pPr>
      <w:r w:rsidRPr="00140E21">
        <w:rPr>
          <w:rFonts w:eastAsia="宋体"/>
        </w:rPr>
        <w:t>NOTE 5:</w:t>
      </w:r>
      <w:r w:rsidRPr="00140E21">
        <w:rPr>
          <w:rFonts w:eastAsia="宋体"/>
        </w:rPr>
        <w:tab/>
        <w:t>The MTC Provider Information can be used by Service Providers for, e.g. to distinguish their different customers.</w:t>
      </w:r>
    </w:p>
    <w:p w14:paraId="797A79A2" w14:textId="08C16A0F" w:rsidR="00704F74" w:rsidRPr="006857D7" w:rsidRDefault="00704F74" w:rsidP="006857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eastAsia="zh-CN"/>
        </w:rPr>
        <w:sectPr w:rsidR="00704F74" w:rsidRPr="006857D7">
          <w:headerReference w:type="even" r:id="rId12"/>
          <w:footnotePr>
            <w:numRestart w:val="eachSect"/>
          </w:footnotePr>
          <w:pgSz w:w="11907" w:h="16840" w:code="9"/>
          <w:pgMar w:top="1418" w:right="1134" w:bottom="1134" w:left="1134" w:header="680" w:footer="567" w:gutter="0"/>
          <w:cols w:space="720"/>
        </w:sect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006857D7">
        <w:rPr>
          <w:rFonts w:ascii="Arial" w:hAnsi="Arial" w:cs="Arial"/>
          <w:color w:val="FF0000"/>
          <w:sz w:val="28"/>
          <w:szCs w:val="28"/>
          <w:lang w:val="en-US"/>
        </w:rPr>
        <w:t xml:space="preserve">* * </w:t>
      </w:r>
      <w:r w:rsidR="006857D7" w:rsidRPr="0042466D">
        <w:rPr>
          <w:rFonts w:ascii="Arial" w:hAnsi="Arial" w:cs="Arial"/>
          <w:color w:val="FF0000"/>
          <w:sz w:val="28"/>
          <w:szCs w:val="28"/>
          <w:lang w:val="en-US"/>
        </w:rPr>
        <w:t>* *</w:t>
      </w:r>
    </w:p>
    <w:p w14:paraId="4CF112CC" w14:textId="226361A1" w:rsidR="006D31B4" w:rsidRDefault="006D31B4" w:rsidP="006857D7">
      <w:pPr>
        <w:rPr>
          <w:rFonts w:hint="eastAsia"/>
          <w:noProof/>
          <w:lang w:eastAsia="zh-CN"/>
        </w:rPr>
      </w:pPr>
      <w:bookmarkStart w:id="22" w:name="_GoBack"/>
      <w:bookmarkEnd w:id="22"/>
    </w:p>
    <w:sectPr w:rsidR="006D31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2F6008" w16cid:durableId="23E8D6B1"/>
  <w16cid:commentId w16cid:paraId="1D1FF40A" w16cid:durableId="23E8D6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9C635" w14:textId="77777777" w:rsidR="002477D7" w:rsidRDefault="002477D7">
      <w:r>
        <w:separator/>
      </w:r>
    </w:p>
  </w:endnote>
  <w:endnote w:type="continuationSeparator" w:id="0">
    <w:p w14:paraId="47E5DCBC" w14:textId="77777777" w:rsidR="002477D7" w:rsidRDefault="0024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50C8B" w14:textId="77777777" w:rsidR="002477D7" w:rsidRDefault="002477D7">
      <w:r>
        <w:separator/>
      </w:r>
    </w:p>
  </w:footnote>
  <w:footnote w:type="continuationSeparator" w:id="0">
    <w:p w14:paraId="60143E15" w14:textId="77777777" w:rsidR="002477D7" w:rsidRDefault="00247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87"/>
    <w:rsid w:val="000A6394"/>
    <w:rsid w:val="000B7FED"/>
    <w:rsid w:val="000C038A"/>
    <w:rsid w:val="000C6598"/>
    <w:rsid w:val="000D44B3"/>
    <w:rsid w:val="00145D43"/>
    <w:rsid w:val="00192C46"/>
    <w:rsid w:val="001A08B3"/>
    <w:rsid w:val="001A7B60"/>
    <w:rsid w:val="001B52F0"/>
    <w:rsid w:val="001B7A65"/>
    <w:rsid w:val="001E41F3"/>
    <w:rsid w:val="001F1565"/>
    <w:rsid w:val="002177AF"/>
    <w:rsid w:val="00217B40"/>
    <w:rsid w:val="002477D7"/>
    <w:rsid w:val="00255D63"/>
    <w:rsid w:val="0026004D"/>
    <w:rsid w:val="00262A25"/>
    <w:rsid w:val="002640DD"/>
    <w:rsid w:val="00265628"/>
    <w:rsid w:val="00275D12"/>
    <w:rsid w:val="00284FEB"/>
    <w:rsid w:val="002860C4"/>
    <w:rsid w:val="002B4BE9"/>
    <w:rsid w:val="002B5741"/>
    <w:rsid w:val="002B74E1"/>
    <w:rsid w:val="002E472E"/>
    <w:rsid w:val="00305409"/>
    <w:rsid w:val="0033579D"/>
    <w:rsid w:val="00345382"/>
    <w:rsid w:val="003609EF"/>
    <w:rsid w:val="0036231A"/>
    <w:rsid w:val="00374DD4"/>
    <w:rsid w:val="003E1A36"/>
    <w:rsid w:val="00410371"/>
    <w:rsid w:val="004242F1"/>
    <w:rsid w:val="004427B2"/>
    <w:rsid w:val="004B75B7"/>
    <w:rsid w:val="0051580D"/>
    <w:rsid w:val="00547111"/>
    <w:rsid w:val="0058207B"/>
    <w:rsid w:val="00592D74"/>
    <w:rsid w:val="005973F9"/>
    <w:rsid w:val="005B7FD5"/>
    <w:rsid w:val="005E2C44"/>
    <w:rsid w:val="00621188"/>
    <w:rsid w:val="006257ED"/>
    <w:rsid w:val="00665C47"/>
    <w:rsid w:val="00665D55"/>
    <w:rsid w:val="00672E09"/>
    <w:rsid w:val="006857D7"/>
    <w:rsid w:val="00695808"/>
    <w:rsid w:val="006B46FB"/>
    <w:rsid w:val="006D31B4"/>
    <w:rsid w:val="006E21FB"/>
    <w:rsid w:val="006F4254"/>
    <w:rsid w:val="00704F74"/>
    <w:rsid w:val="00792342"/>
    <w:rsid w:val="007977A8"/>
    <w:rsid w:val="007B512A"/>
    <w:rsid w:val="007C2097"/>
    <w:rsid w:val="007D044A"/>
    <w:rsid w:val="007D6A07"/>
    <w:rsid w:val="007F7259"/>
    <w:rsid w:val="008040A8"/>
    <w:rsid w:val="00812A0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681E"/>
    <w:rsid w:val="009F734F"/>
    <w:rsid w:val="00A07862"/>
    <w:rsid w:val="00A246B6"/>
    <w:rsid w:val="00A32657"/>
    <w:rsid w:val="00A40D58"/>
    <w:rsid w:val="00A47E70"/>
    <w:rsid w:val="00A50CF0"/>
    <w:rsid w:val="00A7671C"/>
    <w:rsid w:val="00A76C32"/>
    <w:rsid w:val="00A852DC"/>
    <w:rsid w:val="00AA2CBC"/>
    <w:rsid w:val="00AC5820"/>
    <w:rsid w:val="00AD1CD8"/>
    <w:rsid w:val="00B067AE"/>
    <w:rsid w:val="00B258BB"/>
    <w:rsid w:val="00B47873"/>
    <w:rsid w:val="00B67B97"/>
    <w:rsid w:val="00B968C8"/>
    <w:rsid w:val="00BA3EC5"/>
    <w:rsid w:val="00BA51D9"/>
    <w:rsid w:val="00BB5DFC"/>
    <w:rsid w:val="00BD279D"/>
    <w:rsid w:val="00BD6BB8"/>
    <w:rsid w:val="00BE1972"/>
    <w:rsid w:val="00C23670"/>
    <w:rsid w:val="00C3408F"/>
    <w:rsid w:val="00C43FFE"/>
    <w:rsid w:val="00C66BA2"/>
    <w:rsid w:val="00C95985"/>
    <w:rsid w:val="00CC5026"/>
    <w:rsid w:val="00CC68D0"/>
    <w:rsid w:val="00CE729D"/>
    <w:rsid w:val="00D03F9A"/>
    <w:rsid w:val="00D06D51"/>
    <w:rsid w:val="00D24991"/>
    <w:rsid w:val="00D348D7"/>
    <w:rsid w:val="00D50255"/>
    <w:rsid w:val="00D62405"/>
    <w:rsid w:val="00D66520"/>
    <w:rsid w:val="00D84E73"/>
    <w:rsid w:val="00DB1727"/>
    <w:rsid w:val="00DC5675"/>
    <w:rsid w:val="00DE34CF"/>
    <w:rsid w:val="00E13F3D"/>
    <w:rsid w:val="00E2314D"/>
    <w:rsid w:val="00E24AD2"/>
    <w:rsid w:val="00E34898"/>
    <w:rsid w:val="00E44AC2"/>
    <w:rsid w:val="00EB09B7"/>
    <w:rsid w:val="00EE7D7C"/>
    <w:rsid w:val="00F25D98"/>
    <w:rsid w:val="00F300FB"/>
    <w:rsid w:val="00FB23C0"/>
    <w:rsid w:val="00FB6386"/>
    <w:rsid w:val="00FC07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character" w:customStyle="1" w:styleId="TFChar">
    <w:name w:val="TF Char"/>
    <w:link w:val="TF"/>
    <w:rsid w:val="00B478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0E544-1134-4135-9F21-4CC0CC03E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1837</Words>
  <Characters>10477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5</cp:revision>
  <cp:lastPrinted>1899-12-31T23:00:00Z</cp:lastPrinted>
  <dcterms:created xsi:type="dcterms:W3CDTF">2021-03-09T14:10:00Z</dcterms:created>
  <dcterms:modified xsi:type="dcterms:W3CDTF">2021-03-09T14:50:00Z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(3)rJWhoVfOQV/rJNSpmdNuCv1WgEf6i0RcrYg97f9iOUMOQrnB8G44o61pnfJsVqoCQHl4WzeW
kquC2ezwmPdn6a0QoiOw1RxH4SQbqTruGwhZ7ga6URxRA5Fm486y5zM0+X2YiEhOAvnfxo+I
r9ZtpQPMxc6p2wLj4vGW+wW1/aftLggcykc3w8ZNRn/Emo9aSJxcpWwf7jLdR/Rt0paM5qro
L9hCaUb9VTluN6WRzo</vt:lpwstr>
  </property>
  <property fmtid="{D5CDD505-2E9C-101B-9397-08002B2CF9AE}" pid="22" name="_2015_ms_pID_7253431">
    <vt:lpwstr>eIlKKPK3JN8YpTM/848eDVb6kfhDk30/bXFdfLn+SsE22dj3tlJtSO
uV5VRmUdsgcZ8hEYDatf6VxP6GgxQGB17B+Fc1uXthaC3Tlzb3+MTKtXU0hUKKQbJkQmfGWh
CLnsWAzNOnTk6trOL3HWSxRZPXkP5XdGY6KtHhhVhlaHztV3mHZ/37fddWNo+fAUwwaG5z9h
4WS367LjLw+yF6kIb/SM7Izy2D/OLMIJmJ5n</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1615297616</vt:lpwstr>
  </property>
</Properties>
</file>